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68114" w14:textId="77777777" w:rsidR="00116DCF" w:rsidRPr="00692CD9" w:rsidRDefault="00116DCF" w:rsidP="00692CD9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692CD9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116DCF" w:rsidRPr="00692CD9" w14:paraId="5BCC50D6" w14:textId="77777777" w:rsidTr="00BE7C8D">
        <w:tc>
          <w:tcPr>
            <w:tcW w:w="1944" w:type="pct"/>
            <w:gridSpan w:val="2"/>
            <w:shd w:val="clear" w:color="auto" w:fill="EADDF3"/>
          </w:tcPr>
          <w:p w14:paraId="6CD2AFCF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DF3"/>
          </w:tcPr>
          <w:p w14:paraId="69AF8657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ADDF3"/>
          </w:tcPr>
          <w:p w14:paraId="0DC1B869" w14:textId="49C4588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3E28A8">
              <w:rPr>
                <w:rFonts w:ascii="Calibri" w:eastAsia="Calibri" w:hAnsi="Calibri" w:cs="Calibri"/>
                <w:sz w:val="18"/>
                <w:szCs w:val="18"/>
              </w:rPr>
              <w:t xml:space="preserve"> 103.</w:t>
            </w:r>
          </w:p>
        </w:tc>
      </w:tr>
      <w:tr w:rsidR="00116DCF" w:rsidRPr="00692CD9" w14:paraId="4AD662A5" w14:textId="77777777" w:rsidTr="00BE7C8D">
        <w:tc>
          <w:tcPr>
            <w:tcW w:w="812" w:type="pct"/>
          </w:tcPr>
          <w:p w14:paraId="48460087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08F0C44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116DCF" w:rsidRPr="00692CD9" w14:paraId="298A89C6" w14:textId="77777777" w:rsidTr="00BE7C8D">
        <w:tc>
          <w:tcPr>
            <w:tcW w:w="812" w:type="pct"/>
          </w:tcPr>
          <w:p w14:paraId="1D933AE5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4472CB2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HRVATSKI JEZIK I KOMUNIKACIJA </w:t>
            </w:r>
          </w:p>
        </w:tc>
      </w:tr>
      <w:tr w:rsidR="00116DCF" w:rsidRPr="00692CD9" w14:paraId="004465E8" w14:textId="77777777" w:rsidTr="00BE7C8D">
        <w:tc>
          <w:tcPr>
            <w:tcW w:w="812" w:type="pct"/>
          </w:tcPr>
          <w:p w14:paraId="707C5BCE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DDADC5A" w14:textId="77777777" w:rsidR="00116DCF" w:rsidRPr="00692CD9" w:rsidRDefault="00116DCF" w:rsidP="00692CD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Veliko početno slovo – diktat </w:t>
            </w:r>
          </w:p>
        </w:tc>
      </w:tr>
      <w:tr w:rsidR="00116DCF" w:rsidRPr="00692CD9" w14:paraId="4A923B4E" w14:textId="77777777" w:rsidTr="00BE7C8D">
        <w:trPr>
          <w:trHeight w:val="2222"/>
        </w:trPr>
        <w:tc>
          <w:tcPr>
            <w:tcW w:w="812" w:type="pct"/>
          </w:tcPr>
          <w:p w14:paraId="5B061679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3990BB5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162E842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7A750D15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7783C80D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veliko početno slovo: imena ulica, trgova, naseljenih mjesta, voda i gora, ustanova u užem okružju; imena knjiga i novina</w:t>
            </w:r>
          </w:p>
          <w:p w14:paraId="159E8A72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primjenjuje pravilo pisanja čestih višerječnih imena</w:t>
            </w:r>
          </w:p>
          <w:p w14:paraId="7E31E44B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tekstove jednostavne strukture.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5B1009E1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razlikuje svakodnevne komunikacijske situacije </w:t>
            </w:r>
          </w:p>
          <w:p w14:paraId="1157E7AA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745F1FF3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 govornim situacijama samostalno prilagođava ton, intonaciju i stil</w:t>
            </w:r>
          </w:p>
          <w:p w14:paraId="00599A27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087B7ACD" w14:textId="77777777" w:rsidR="00116DCF" w:rsidRPr="00692CD9" w:rsidRDefault="00116DCF" w:rsidP="00692C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D95D37"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Učenik sluša tekst i prepričava sadržaj poslušanoga teksta.</w:t>
            </w:r>
          </w:p>
          <w:p w14:paraId="0422B988" w14:textId="77777777" w:rsidR="00116DCF" w:rsidRDefault="00116DCF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ulogu i korisnost slušanja</w:t>
            </w:r>
          </w:p>
          <w:p w14:paraId="43345AF5" w14:textId="77777777" w:rsidR="00692CD9" w:rsidRPr="00692CD9" w:rsidRDefault="00692CD9" w:rsidP="00692C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116DCF" w:rsidRPr="00692CD9" w14:paraId="624C8582" w14:textId="77777777" w:rsidTr="00BE7C8D">
        <w:tc>
          <w:tcPr>
            <w:tcW w:w="3357" w:type="pct"/>
            <w:gridSpan w:val="4"/>
            <w:shd w:val="clear" w:color="auto" w:fill="EADDF3"/>
          </w:tcPr>
          <w:p w14:paraId="66F9EB29" w14:textId="77777777" w:rsidR="00116DCF" w:rsidRPr="00692CD9" w:rsidRDefault="00116DCF" w:rsidP="00692CD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DF3"/>
          </w:tcPr>
          <w:p w14:paraId="1CBF7D35" w14:textId="77777777" w:rsidR="00116DCF" w:rsidRPr="00692CD9" w:rsidRDefault="00116DCF" w:rsidP="00692CD9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793310A6" w14:textId="77777777" w:rsidR="00116DCF" w:rsidRPr="00692CD9" w:rsidRDefault="00116DCF" w:rsidP="00692CD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DF3"/>
          </w:tcPr>
          <w:p w14:paraId="3712AB90" w14:textId="77777777" w:rsidR="00116DCF" w:rsidRPr="00692CD9" w:rsidRDefault="00116DCF" w:rsidP="00692CD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692CD9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692CD9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692CD9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692CD9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692CD9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692CD9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692CD9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692CD9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692CD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16DCF" w:rsidRPr="00692CD9" w14:paraId="17032054" w14:textId="77777777" w:rsidTr="00BE7C8D">
        <w:trPr>
          <w:trHeight w:val="2117"/>
        </w:trPr>
        <w:tc>
          <w:tcPr>
            <w:tcW w:w="3357" w:type="pct"/>
            <w:gridSpan w:val="4"/>
          </w:tcPr>
          <w:p w14:paraId="2CAAB008" w14:textId="77777777" w:rsidR="0054116A" w:rsidRPr="00692CD9" w:rsidRDefault="002D7330" w:rsidP="00692CD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NA (VELIKO) SLOVO, NA (VELIKO) SLOVO</w:t>
            </w:r>
          </w:p>
          <w:p w14:paraId="2B2FFAA6" w14:textId="77777777" w:rsidR="00692CD9" w:rsidRPr="00692CD9" w:rsidRDefault="002D7330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C52870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služi se novim riječima u skladu s komunikacijskom situacijom i temom</w:t>
            </w:r>
            <w:r w:rsidR="00C52870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govornim situacijama samostalno prilagođava ton, intonaciju i stil</w:t>
            </w:r>
            <w:r w:rsidR="00C52870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D14008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primjenjuje pravilo pisanja čestih višerječnih imena</w:t>
            </w:r>
            <w:r w:rsidR="00D95D37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AAF80AD" w14:textId="77777777" w:rsidR="00C52870" w:rsidRPr="00692CD9" w:rsidRDefault="002D7330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9E86CE6" w14:textId="77777777" w:rsidR="002D7330" w:rsidRPr="00692CD9" w:rsidRDefault="002D7330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Učenici u parovima igraju igru Na (veliko) slovo, na (veliko) slovo. Učiteljica/učitelj priprema tablice za igru: </w:t>
            </w:r>
          </w:p>
          <w:p w14:paraId="14A69DA8" w14:textId="77777777" w:rsidR="00C52870" w:rsidRPr="00692CD9" w:rsidRDefault="00C52870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6FAF14C" w14:textId="77777777" w:rsidR="005273B3" w:rsidRPr="00692CD9" w:rsidRDefault="005273B3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59"/>
              <w:gridCol w:w="1159"/>
              <w:gridCol w:w="1159"/>
              <w:gridCol w:w="1161"/>
              <w:gridCol w:w="1159"/>
              <w:gridCol w:w="1159"/>
            </w:tblGrid>
            <w:tr w:rsidR="005273B3" w:rsidRPr="00692CD9" w14:paraId="18C4752D" w14:textId="77777777" w:rsidTr="002D7330">
              <w:tc>
                <w:tcPr>
                  <w:tcW w:w="1159" w:type="dxa"/>
                </w:tcPr>
                <w:p w14:paraId="7407E472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>NASELJENO MJESTO</w:t>
                  </w:r>
                </w:p>
              </w:tc>
              <w:tc>
                <w:tcPr>
                  <w:tcW w:w="1159" w:type="dxa"/>
                </w:tcPr>
                <w:p w14:paraId="6DD3E292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>VODE</w:t>
                  </w:r>
                </w:p>
                <w:p w14:paraId="74A7F04D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(RIJEKA, JEZERO, MORE)</w:t>
                  </w:r>
                </w:p>
              </w:tc>
              <w:tc>
                <w:tcPr>
                  <w:tcW w:w="1159" w:type="dxa"/>
                </w:tcPr>
                <w:p w14:paraId="69BA9E26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PLANINA ILI GORA </w:t>
                  </w:r>
                </w:p>
              </w:tc>
              <w:tc>
                <w:tcPr>
                  <w:tcW w:w="1159" w:type="dxa"/>
                </w:tcPr>
                <w:p w14:paraId="37521277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>USTANOVA</w:t>
                  </w:r>
                </w:p>
                <w:p w14:paraId="629B1FF7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(ŠKOLA, MUZEJ, KAZALIŠTE…) </w:t>
                  </w:r>
                </w:p>
              </w:tc>
              <w:tc>
                <w:tcPr>
                  <w:tcW w:w="1159" w:type="dxa"/>
                </w:tcPr>
                <w:p w14:paraId="74264488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ULICE, TRGOVI </w:t>
                  </w:r>
                </w:p>
              </w:tc>
              <w:tc>
                <w:tcPr>
                  <w:tcW w:w="1159" w:type="dxa"/>
                </w:tcPr>
                <w:p w14:paraId="7B2014A2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692CD9">
                    <w:rPr>
                      <w:rFonts w:ascii="Calibri" w:eastAsia="Calibri" w:hAnsi="Calibri" w:cs="Calibri"/>
                      <w:sz w:val="18"/>
                      <w:szCs w:val="18"/>
                    </w:rPr>
                    <w:t>NOVINE, ČASOPISI, KNJIGE</w:t>
                  </w:r>
                </w:p>
              </w:tc>
            </w:tr>
            <w:tr w:rsidR="005273B3" w:rsidRPr="00692CD9" w14:paraId="61F1982F" w14:textId="77777777" w:rsidTr="002D7330">
              <w:tc>
                <w:tcPr>
                  <w:tcW w:w="1159" w:type="dxa"/>
                </w:tcPr>
                <w:p w14:paraId="43D00F99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  <w:p w14:paraId="1FF328AA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</w:tcPr>
                <w:p w14:paraId="4E6BD18E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</w:tcPr>
                <w:p w14:paraId="19531F96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</w:tcPr>
                <w:p w14:paraId="24EF7FA8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</w:tcPr>
                <w:p w14:paraId="1301126C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</w:tcPr>
                <w:p w14:paraId="2B2C6A2A" w14:textId="77777777" w:rsidR="005273B3" w:rsidRPr="00692CD9" w:rsidRDefault="005273B3" w:rsidP="00692C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14:paraId="0C68357E" w14:textId="77777777" w:rsidR="002D7330" w:rsidRPr="00692CD9" w:rsidRDefault="002D7330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D8E444" w14:textId="77777777" w:rsidR="005273B3" w:rsidRPr="00692CD9" w:rsidRDefault="005273B3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Prije igre ponove se pravila pisanja velikog početnog slova u imenima naselja, voda, gora, ulica, trgova te novina časopisa i knjiga. </w:t>
            </w:r>
          </w:p>
          <w:p w14:paraId="5FB9AEBC" w14:textId="77777777" w:rsidR="00E86405" w:rsidRPr="00692CD9" w:rsidRDefault="005273B3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Igru započinje učitelj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i zadaje slovo, a učenici moraju napisati ime naselja, vode, gore… koje započinje tim slovom. Učitelj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odabire slovo za koje zna da će učenici moći napisati ime svega zadanog (npr. S – Split, Sava, Samoborsko gorje, Satiričko kazalište Kerempuh, Smib). Dalj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nja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slova odabiru učenici. 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Jedan u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>čenik mo</w:t>
            </w:r>
            <w:r w:rsidR="00E86405" w:rsidRPr="00692CD9">
              <w:rPr>
                <w:rFonts w:ascii="Calibri" w:eastAsia="Calibri" w:hAnsi="Calibri" w:cs="Calibri"/>
                <w:sz w:val="18"/>
                <w:szCs w:val="18"/>
              </w:rPr>
              <w:t>že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u sebi govoriti abecedu,</w:t>
            </w:r>
            <w:r w:rsidR="00E86405"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drugi ga zaustavi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, a</w:t>
            </w:r>
            <w:r w:rsidR="00E86405"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slovo na kojem je stao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E86405"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sljedeće </w:t>
            </w:r>
            <w:r w:rsidR="00692CD9"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je </w:t>
            </w:r>
            <w:r w:rsidR="00E86405" w:rsidRPr="00692CD9">
              <w:rPr>
                <w:rFonts w:ascii="Calibri" w:eastAsia="Calibri" w:hAnsi="Calibri" w:cs="Calibri"/>
                <w:sz w:val="18"/>
                <w:szCs w:val="18"/>
              </w:rPr>
              <w:t>zadano slovo. Može se dogovoriti da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E86405"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ako se učenici ne mogu sjetiti ili ne postoji nešto na zadano slovo, mogu sami smisliti ime npr. kazalištu, novinama…</w:t>
            </w:r>
          </w:p>
          <w:p w14:paraId="71715EAD" w14:textId="77777777" w:rsidR="00E86405" w:rsidRPr="00692CD9" w:rsidRDefault="00E86405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Zajednički se provjerava točnost pisanja velikog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početnog slova. </w:t>
            </w:r>
          </w:p>
          <w:p w14:paraId="254A00C5" w14:textId="77777777" w:rsidR="00D14008" w:rsidRPr="00692CD9" w:rsidRDefault="00D14008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30C4B07" w14:textId="77777777" w:rsidR="00692CD9" w:rsidRPr="00692CD9" w:rsidRDefault="00D14008" w:rsidP="00692CD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PIŠEMO DIKTAT</w:t>
            </w:r>
          </w:p>
          <w:p w14:paraId="29A70DA2" w14:textId="77777777" w:rsidR="00692CD9" w:rsidRPr="00692CD9" w:rsidRDefault="00D14008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Ishod aktivnosti: 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  <w:r w:rsidR="00C52870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veliko početno slovo: imena ulica, trgova, naseljenih mjesta, voda i gora, ustanova u užem okružju</w:t>
            </w:r>
            <w:r w:rsidR="00C52870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imena knjiga i novina</w:t>
            </w:r>
            <w:r w:rsidR="00C52870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primjenjuje pravilo pisanja čestih višerječnih imena</w:t>
            </w:r>
            <w:r w:rsidR="00D95D37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8C2BB46" w14:textId="77777777" w:rsidR="00D14008" w:rsidRPr="00692CD9" w:rsidRDefault="00D14008" w:rsidP="00692C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197217B" w14:textId="77777777" w:rsidR="001E5343" w:rsidRDefault="00D14008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najavljuje pisanje diktata u kojem će se provjeravati pisanje velikog početnog slova. Upozorava učenike na pažljivo slušanje, uredno i čitko pisanje, poštivanje pravopisnih pravila.</w:t>
            </w:r>
          </w:p>
          <w:p w14:paraId="0DEC363E" w14:textId="77777777" w:rsidR="00692CD9" w:rsidRPr="00692CD9" w:rsidRDefault="00692CD9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9E991BC" w14:textId="77777777" w:rsidR="001E5343" w:rsidRPr="00692CD9" w:rsidRDefault="001E5343" w:rsidP="00692C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Primjer diktata: </w:t>
            </w:r>
          </w:p>
          <w:p w14:paraId="5088AF64" w14:textId="77777777" w:rsidR="00D14008" w:rsidRPr="00692CD9" w:rsidRDefault="00D14008" w:rsidP="00692C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</w:t>
            </w:r>
            <w:r w:rsidR="001443A2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a razreda </w:t>
            </w:r>
            <w:r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Osnovne škole Mate Lovraka iz Velikog Grđevca vole </w:t>
            </w:r>
            <w:r w:rsidR="001443A2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učiti izvan učionice.</w:t>
            </w:r>
            <w:r w:rsidR="00E62022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Nekoliko </w:t>
            </w:r>
            <w:r w:rsidR="00692CD9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su </w:t>
            </w:r>
            <w:r w:rsidR="00E62022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puta bili na </w:t>
            </w:r>
            <w:r w:rsidR="001443A2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Bilogori i Moslavačkoj gori.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 ljepotama </w:t>
            </w:r>
            <w:r w:rsidR="00BC4C95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tih 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gora pisali </w:t>
            </w:r>
            <w:r w:rsidR="00BC4C95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su 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 školskom časopisu </w:t>
            </w:r>
            <w:r w:rsidR="009D0B5E" w:rsidRPr="00692CD9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Kvržica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1443A2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Vesele se izletu u Koprivnicu. Tamo će posjetiti Muzej grada Koprivnice </w:t>
            </w:r>
            <w:r w:rsidR="00366B0F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 pojesti sladoled na Zrinskom trgu. Prošetat će uz jezero Šoderica i voziti se uz rijeku Dravu. 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Sljedeće godine planiraju posjetiti Zagreb. Voljeli bi u Gradskom kazalištu </w:t>
            </w:r>
            <w:r w:rsidR="009D0B5E" w:rsidRPr="00692CD9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Žar ptica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pogledati predstavu </w:t>
            </w:r>
            <w:r w:rsidR="009D0B5E" w:rsidRPr="00692CD9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Družba Pere Kvržice</w:t>
            </w:r>
            <w:r w:rsidR="009D0B5E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posjetiti Muzej iluzija. Prošetat će Ilicom i Cvjetnim trgom, </w:t>
            </w:r>
            <w:r w:rsidR="00BC4C95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 Maksimirskom cestom vozit će se do Zoološkog vrta. Jako vole maštati o budućim izletima, ali prvo moraju pročitati lektiru i saznati kako je putovao šegrt Hlapić u knjizi </w:t>
            </w:r>
            <w:r w:rsidR="00BC4C95" w:rsidRPr="00692CD9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Čudnovate zgode šegrta Hlapića</w:t>
            </w:r>
            <w:r w:rsidR="00BC4C95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koju je napisala Ivana Brlić</w:t>
            </w:r>
            <w:r w:rsid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 w:rsidR="00BC4C95" w:rsidRPr="00692C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Mažuranić. </w:t>
            </w:r>
          </w:p>
          <w:p w14:paraId="26BD5DDB" w14:textId="77777777" w:rsidR="00BC4C95" w:rsidRPr="00692CD9" w:rsidRDefault="00BC4C95" w:rsidP="00692CD9">
            <w:pPr>
              <w:textAlignment w:val="baseline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9C65BD2" w14:textId="77777777" w:rsidR="00BC4C95" w:rsidRPr="00692CD9" w:rsidRDefault="00CB5F56" w:rsidP="00692CD9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>Nakon pisanja</w:t>
            </w:r>
            <w:r w:rsidR="00E62022"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diktata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62022" w:rsidRPr="00692CD9">
              <w:rPr>
                <w:rFonts w:ascii="Calibri" w:eastAsia="Calibri" w:hAnsi="Calibri" w:cs="Calibri"/>
                <w:sz w:val="18"/>
                <w:szCs w:val="18"/>
              </w:rPr>
              <w:t>učenici mogu nastaviti igru s početka sata.</w:t>
            </w:r>
          </w:p>
          <w:p w14:paraId="59BD6925" w14:textId="77777777" w:rsidR="00E62022" w:rsidRPr="00692CD9" w:rsidRDefault="00E62022" w:rsidP="00692CD9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27792D2" w14:textId="77777777" w:rsidR="00692CD9" w:rsidRPr="00692CD9" w:rsidRDefault="00E62022" w:rsidP="00692CD9">
            <w:pPr>
              <w:textAlignment w:val="baseline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ISPRAVAK I ANALIZA</w:t>
            </w:r>
          </w:p>
          <w:p w14:paraId="50486F16" w14:textId="77777777" w:rsidR="00E62022" w:rsidRDefault="00E62022" w:rsidP="00692CD9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ispravlja diktate, uočava najčešće pogreške </w:t>
            </w:r>
            <w:r w:rsidR="00692CD9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692CD9">
              <w:rPr>
                <w:rFonts w:ascii="Calibri" w:eastAsia="Calibri" w:hAnsi="Calibri" w:cs="Calibri"/>
                <w:sz w:val="18"/>
                <w:szCs w:val="18"/>
              </w:rPr>
              <w:t xml:space="preserve"> na sljedećem satu skreće učenicima pozornost na česte pogreške. Učenici pišu ispravak diktata. </w:t>
            </w:r>
          </w:p>
          <w:p w14:paraId="05DA6EF2" w14:textId="77777777" w:rsidR="00692CD9" w:rsidRDefault="00692CD9" w:rsidP="00692CD9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DEE620" w14:textId="77777777" w:rsidR="00692CD9" w:rsidRPr="00692CD9" w:rsidRDefault="00692CD9" w:rsidP="00692CD9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46" w:type="pct"/>
          </w:tcPr>
          <w:p w14:paraId="2D2F138C" w14:textId="77777777" w:rsidR="005273B3" w:rsidRPr="00692CD9" w:rsidRDefault="005273B3" w:rsidP="00692CD9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20DA500" w14:textId="77777777" w:rsidR="0054116A" w:rsidRPr="0054116A" w:rsidRDefault="0054116A" w:rsidP="0054116A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31C8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UKU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607F9AE2" w14:textId="77777777" w:rsidR="0054116A" w:rsidRPr="00C31C85" w:rsidRDefault="0054116A" w:rsidP="0054116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A65BE8D" w14:textId="77777777" w:rsidR="0054116A" w:rsidRPr="00C31C85" w:rsidRDefault="0054116A" w:rsidP="0054116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1C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problema.</w:t>
            </w:r>
          </w:p>
          <w:p w14:paraId="4C4BE7A9" w14:textId="77777777" w:rsidR="00116DCF" w:rsidRPr="00692CD9" w:rsidRDefault="0054116A" w:rsidP="0054116A">
            <w:pPr>
              <w:rPr>
                <w:rFonts w:eastAsia="Calibri" w:cstheme="minorHAnsi"/>
                <w:sz w:val="18"/>
                <w:szCs w:val="18"/>
              </w:rPr>
            </w:pPr>
            <w:r w:rsidRPr="0054116A">
              <w:rPr>
                <w:rFonts w:eastAsia="Calibri" w:cstheme="minorHAnsi"/>
                <w:b/>
                <w:bCs/>
                <w:sz w:val="18"/>
                <w:szCs w:val="18"/>
              </w:rPr>
              <w:t>PID OŠ</w:t>
            </w:r>
            <w:r w:rsidRPr="00C31C85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31C85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31C85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31C85">
              <w:rPr>
                <w:rFonts w:eastAsia="Calibri" w:cstheme="minorHAnsi"/>
                <w:sz w:val="18"/>
                <w:szCs w:val="18"/>
              </w:rPr>
              <w:t>Učenik zaključuje o organiziranosti lokalne zajednice, uspoređuje prikaze različitih prostora.</w:t>
            </w:r>
          </w:p>
        </w:tc>
      </w:tr>
    </w:tbl>
    <w:p w14:paraId="6DFBF980" w14:textId="77777777" w:rsidR="00C35534" w:rsidRPr="00692CD9" w:rsidRDefault="00BE7C8D" w:rsidP="00692CD9">
      <w:pPr>
        <w:spacing w:after="0" w:line="240" w:lineRule="auto"/>
        <w:rPr>
          <w:sz w:val="18"/>
          <w:szCs w:val="18"/>
        </w:rPr>
      </w:pPr>
    </w:p>
    <w:sectPr w:rsidR="00C35534" w:rsidRPr="00692CD9" w:rsidSect="00692CD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CF"/>
    <w:rsid w:val="00116DCF"/>
    <w:rsid w:val="001443A2"/>
    <w:rsid w:val="001E5343"/>
    <w:rsid w:val="0023795C"/>
    <w:rsid w:val="002D7330"/>
    <w:rsid w:val="002E3036"/>
    <w:rsid w:val="00366B0F"/>
    <w:rsid w:val="003E28A8"/>
    <w:rsid w:val="005273B3"/>
    <w:rsid w:val="0054116A"/>
    <w:rsid w:val="00692CD9"/>
    <w:rsid w:val="008E1811"/>
    <w:rsid w:val="009D0B5E"/>
    <w:rsid w:val="00BC4C95"/>
    <w:rsid w:val="00BE7C8D"/>
    <w:rsid w:val="00C31C85"/>
    <w:rsid w:val="00C52870"/>
    <w:rsid w:val="00CB4C7F"/>
    <w:rsid w:val="00CB5F56"/>
    <w:rsid w:val="00D14008"/>
    <w:rsid w:val="00D95D37"/>
    <w:rsid w:val="00E62022"/>
    <w:rsid w:val="00E8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6ABE"/>
  <w15:chartTrackingRefBased/>
  <w15:docId w15:val="{98732493-9A0E-417D-8266-D0D800DC5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116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16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2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2020-07-17T18:59:00Z</dcterms:created>
  <dcterms:modified xsi:type="dcterms:W3CDTF">2021-07-28T07:48:00Z</dcterms:modified>
</cp:coreProperties>
</file>